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2009/86 vom 17. Dezember 2009</w:t>
      </w:r>
    </w:p>
    <w:p>
      <w:r>
        <w:t>Sg Verwaltungsgericht, 2009-12-17, DE</w:t>
      </w:r>
    </w:p>
    <w:p>
      <w:r>
        <w:rPr>
          <w:b/>
        </w:rPr>
        <w:t xml:space="preserve">Quelle: </w:t>
      </w:r>
      <w:r>
        <w:t>https://mcp.opencaselaw.ch/entscheid/sg_publikationen_B 2009_86</w:t>
      </w:r>
    </w:p>
    <w:p>
      <w:r>
        <w:t>FR: SG_VERWALTUNGSGERICHT B 2009/86 du 17 décembre 2009</w:t>
      </w:r>
    </w:p>
    <w:p>
      <w:r>
        <w:t>IT: SG_VERWALTUNGSGERICHT B 2009/86 del 17 dicembre 2009</w:t>
      </w:r>
    </w:p>
    <w:p>
      <w:pPr>
        <w:pStyle w:val="Heading2"/>
      </w:pPr>
      <w:r>
        <w:t>Regeste</w:t>
      </w:r>
    </w:p>
    <w:p>
      <w:r>
        <w:t>Bau- und Planungsrecht, Legitimation (Art. 45 Abs. 1 VRP (sGS 951.1). Fehlende Legitimation einer Grundeigentümerin zur Anfechtung eines Teilzonenplans mangels hinreichender räumlicher Beziehung zu den Plangebietsteilen, die tatsächlich planerischen Änderungen unterworfen sind (Verwaltungsgericht, B 2009/86).</w:t>
      </w:r>
    </w:p>
    <w:p>
      <w:pPr>
        <w:pStyle w:val="Heading2"/>
      </w:pPr>
      <w:r>
        <w:t>Erwägungen</w:t>
      </w:r>
    </w:p>
    <w:p>
      <w:r>
        <w:rPr>
          <w:b/>
        </w:rPr>
        <w:t>E. 1</w:t>
      </w:r>
    </w:p>
    <w:p>
      <w:r>
        <w:t>Die Sachurteilsvoraussetzungen sind von Amtes wegen zu prüfen:</w:t>
      </w:r>
    </w:p>
    <w:p>
      <w:r>
        <w:rPr>
          <w:b/>
        </w:rPr>
        <w:t>E. 1.1</w:t>
      </w:r>
    </w:p>
    <w:p>
      <w:r>
        <w:t>Das Verwaltungsgericht ist gemäss Art. 59bis Abs. 1 des Gesetzes über die Verwaltungsrechtspflege (sGS 951.1, abgekürzt VRP) zur Behandlung der gegen einen Entscheid des Baudepartementes erhobenen Beschwerde zuständig.</w:t>
      </w:r>
    </w:p>
    <w:p>
      <w:r>
        <w:rPr>
          <w:b/>
        </w:rPr>
        <w:t>E. 1.2</w:t>
      </w:r>
    </w:p>
    <w:p>
      <w:r>
        <w:t>Die Beschwerdeeingabe vom 20. Mai 2009 und ihre Ergänzung vom 9. Juni 2009 wurden rechtzeitig eingereicht und entsprechen formal und inhaltlich den gesetzlichen Voraussetzungen (Art. 64 Abs. 1 in Verbindung mit Art. 47 Abs. 1 und Art. 48 Abs. 1 und 2 VRP). Die Beschwerdeführerin ist Adressatin des angefochtenen Entscheids. Indem dieser ihr die Rekursbefugnis abspricht, ist sie durch ihn beschwert und in ihren schutzwürdigen Interessen betroffen (Art. 64 Abs. 1 in Verbindung mit Art. 45 Abs. 1 VRP). Auf die Beschwerde ist einzutreten.</w:t>
      </w:r>
    </w:p>
    <w:p>
      <w:r>
        <w:rPr>
          <w:b/>
        </w:rPr>
        <w:t>E. 2</w:t>
      </w:r>
    </w:p>
    <w:p>
      <w:r>
        <w:t>Die Beschwerdeführerin beantragt die Durchführung eines Augenscheins. Damit soll festgestellt werden, dass der Teilzonenplan "Freihof" ein grösseres Gebiet an einer äusserst empfindlichen Stelle betreffe, das unmittelbar neben der wertvollen katholischen Kirche am Eingang zur historischen Altstadt liege.</w:t>
      </w:r>
    </w:p>
    <w:p>
      <w:r>
        <w:rPr>
          <w:b/>
        </w:rPr>
        <w:t>E. 2.1</w:t>
      </w:r>
    </w:p>
    <w:p>
      <w:r>
        <w:t>Der Augenschein ist die unmittelbare sinnliche Wahrnehmung von Tatsachen durch die entscheidende Instanz. Er dient dem besseren Verständnis des Sachverhalts. Ob ein Augenschein durchzuführen ist, liegt im pflichtgemässen Ermessen der urteilenden Instanz. Unbestrittene Tatsachen brauchen nicht durch einen Augenschein überprüft zu werden, sofern eine Nachprüfung nicht durch öffentliche Interessen geboten erscheint (Cavelti/Vögeli, Verwaltungsgerichtsbarkeit im Kanton St. Gallen, St. Gallen 2003, Rz. 966).</w:t>
      </w:r>
    </w:p>
    <w:p>
      <w:r>
        <w:rPr>
          <w:b/>
        </w:rPr>
        <w:t>E. 2.2</w:t>
      </w:r>
    </w:p>
    <w:p>
      <w:r>
        <w:t>Die tatsächlichen Verhältnisse ergeben sich vorliegend aus den massgeblichen Plänen und übrigen Verfahrensakten, insbesondere der unbestrittene Umstand, dass das Plangebiet unmittelbar an die Altstadt angrenzt und dass sich die katholische Kirche "St. Niklaus", nach dem Ortsbildinventar der Stadt A. ein schützenswertes Kulturobjekt gemäss Art. 6 SchVO, im Perimeter des angefochtenen Teilzonenplans befindet und im Gebiet des massgeblichen Stadtentwicklungsgebiets liegt. Auf die beantragte Durchführung eines Augenscheins ist folglich zu verzichten.</w:t>
      </w:r>
    </w:p>
    <w:p>
      <w:r>
        <w:rPr>
          <w:b/>
        </w:rPr>
        <w:t>E. 3</w:t>
      </w:r>
    </w:p>
    <w:p>
      <w:r>
        <w:t>Streitgegenstand im Beschwerdeverfahren ist die Frage, ob das Baudepartement auf den Rekurs der Beschwerdeführerin zu Recht nicht eingetreten ist.</w:t>
      </w:r>
    </w:p>
    <w:p>
      <w:r>
        <w:rPr>
          <w:b/>
        </w:rPr>
        <w:t>E. 3.1</w:t>
      </w:r>
    </w:p>
    <w:p>
      <w:r>
        <w:t>Zur Einsprache bzw. zur Erhebung des Rekurses ist berechtigt, wer ein eigenes schutzwürdiges Interesse dartut (Art. 83 Abs. 2 des Baugesetzes [sGS 731.1, abgekürzt BauG] bzw. Art. 45 Abs. 1 VRP). Schutzwürdig ist es, wenn der Betroffene rechtlich geschützte Interessen geltend macht oder wenn eine Verfügung oder ein Entscheid seine tatsächliche Interessenlage mehr berührt als irgendeinen Dritten oder die Allgemeinheit (Cavelti/Vögeli, a.a.O., Rz. 390 mit Hinweisen). Das schutzwürdige Interesse besteht dabei im "praktischen Nutzen", den ein erfolgreich geführtes Rechtsmittel dem Betroffenen in seiner rechtlichen oder tatsächlichen Situation einträgt, bzw. in der Abwendung materieller, ideeller oder sonstiger Nachteile, den ein Bestand der angefochtenen Verfügung oder des Entscheids mit sich bringen würde (Cavelti/Vögeli, a.a.O., Rz. 391). Das Rechtsschutzinteresse muss hinsichtlich aller Gründe, die der Rekurrent oder Beschwerdeführer vorbringt, gegeben sein und geprüft werden (Cavelti/Vögeli, a.a.O., Rz. 394; B. Heer, St. Gallisches Bau- und Planungsrecht, Bern 2003, Rz. 934 mit weiteren Hinweisen; GVP 2006 Nr. 32). Die Stellung als Bewohner oder Grundeigentümer in einem bestimmten Gebiet bzw. in der Nachbarschaft oder das allgemeine Interesse an der Einhaltung der Rechtsordnung allein begründen kein schutzwürdiges Interesse an der Anfechtung einer Baubewilligung oder Nutzungsänderung. Soweit einzig die Wahrung öffentlicher Interessen in Frage steht, sind dazu in erster Linie die zuständigen Behörden berufen (GVP 1981 Nr. 67).</w:t>
      </w:r>
    </w:p>
    <w:p>
      <w:r>
        <w:rPr>
          <w:b/>
        </w:rPr>
        <w:t>E. 3.2</w:t>
      </w:r>
    </w:p>
    <w:p>
      <w:r>
        <w:t>Das Grundstück Nr. 461 an der Kreuzung Bahnhofstrasse/Städlenstrasse (Gemeindestrassen 1. und 2. Klasse) wird vom angefochtenen Teilzonenplan erfasst. Damit ist die Beschwerdeführerin von der Planänderung grundsätzlich in ihren eigenen Interessen betroffen. Tatsächlich hat der Teilzonenplan "Freihof" aber auf die Nutzungsmöglichkeiten ihres Grundstücks – wie auch auf das gesamte, westlich angrenzende, von der Churer-, Rorschacher-, Bahnhof- und Städlenstrasse umgrenzte Quartier – keinerlei Auswirkungen. Der sehr weitläufige Teilzonenplan umfasst mehrere grossflächige Stadtteile, die zum Teil von der Zonenplanänderung nicht betroffen sind. Gemäss Planungsbericht zum Teilzonenplan "Freihof" vom 4. August 2008 wurde der Geltungsbereich deshalb so grosszügig und nicht exakt entlang der Zonenplanänderungen geführt, weil die Zonenabgrenzung zum Teil nur geringfügig angepasst werden soll und ein detailliert, nur auf die Änderungen fixierter Geltungsbereich den Teilzonenplan unleserlich gemacht hätte. Die Einsprache- und Rekursberechtigung hängt, gleichgültig, ob sich das Rechtmittel gegen eine Baubewilligung oder gegen einen Nutzungsplan richtet, nur davon ab, ob und inwiefern sich die bewilligte Baute oder Anlage bzw. die festgesetzte Nutzung nachteilig auf das Grundstück des Betroffenen auswirken kann. Aus diesem Grund ist näher zu prüfen, worin die besondere Beziehungsnähe der Beschwerdeführerin zu den von den Nutzungsänderungen betroffenen Gebieten besteht bzw. ob ihr Rechtsschutzinteresse hinsichtlich der einzelnen Rechtsbehauptungen gegeben ist, die sie vorbringt. Dabei ist zum einen der Abstand zwischen den Grundstücken, zum anderen die Art und Intensität der befürchteten Auswirkungen entscheidend (BGE 1A.266/2006 vom 25. April 2007 E. 3).</w:t>
      </w:r>
    </w:p>
    <w:p>
      <w:r>
        <w:rPr>
          <w:b/>
        </w:rPr>
        <w:t>E. 3.3</w:t>
      </w:r>
    </w:p>
    <w:p>
      <w:r>
        <w:t>Mit der Beschwerdeergänzung vom 9. Juni 2009 bringt die Beschwerdeführerin vor, das Stadtentwicklungskonzept, das dem Teilzonenplan zu Grunde liege, werde die bisherigen tatsächlichen Verhältnisse in der näheren Umgebung hinsichtlich Verkehr, Passantenaufkommen und Immissionen nachhaltig verändern. Auf Grund seiner Grösse werde das Entwicklungsprojekt in einem Umkreis von einigen hundert Metern Auswirkungen haben. Ihre tatsächlichen Interessen würden damit trotz der Distanz zum geplanten Projekt stärker betroffen als jene eines Dritten oder der Allgemeinheit.</w:t>
      </w:r>
    </w:p>
    <w:p>
      <w:r>
        <w:rPr>
          <w:b/>
        </w:rPr>
        <w:t>E. 3.3.1</w:t>
      </w:r>
    </w:p>
    <w:p>
      <w:r>
        <w:t>Zur Immissionseinrede ist der Nachbar befugt, wenn er von Lärm-, Staub- und anderen Einwirkungen direkt betroffen oder wenn dies zumindest wahrscheinlich ist. Das gilt insbesondere für den Nachbarn einer neuen Erschliessungsstrasse. Nicht berechtigt dagegen ist er zur Rüge, die zu erwartenden Immissionen beeinträchtigten die Interessen in einem weiteren Bereich der Wohnzone oder des Gemeindegebiets. Ein schutzwürdiges Interesse eines Strassenanwohners wird namentlich dann verneint, wenn ein Bauvorhaben – sofern die vorgegebenen Grenzwerte eingehalten sind - zu einem Mehrverkehr von höchstens zehn Prozent führt (Cavelti/Vögeli, a.a.O., Rz. 417 mit Hinweisen).</w:t>
      </w:r>
    </w:p>
    <w:p>
      <w:r>
        <w:rPr>
          <w:b/>
        </w:rPr>
        <w:t>E. 3.3.2</w:t>
      </w:r>
    </w:p>
    <w:p>
      <w:r>
        <w:t>Der Teilzonenplan "Freihof" sieht erst rund 100 m westlich des Grundstücks der Beschwerdeführerin, auf der anderen Seite der zu verlegenden Churer Strasse, eine Änderung der Nutzungsordnung vor. Hier soll das Quartier von der KV in die KA umgeteilt werden. Beide Kernzonen gelten als geschützte Ortsbilder nach Art. 98 BauG, letztere soweit sie mit der Ortsbildschutzzone im Schutzplan identisch ist. Die beiden Zonen bezwecken die Erhaltung der baulichen Einheit und Eigenart der Altstadt sowie den Schutz geschichtlich, architektonisch oder für das Altstadtbild wertvoller Bauten und Anlagen (Art. 13 Abs. 1 des Baureglementes der Stadt A. vom 11. Juni 1996, abgekürzt BauR) bzw. die Erhaltung, Erneuerung und Ergänzung der baulichen Einheit und Eigenart der Vorstädte sowie einen Umgebungsschutz der KA (Art. 14 Abs. 1 BauR). Ansonsten gelten für beide Zonen die gleichen Schutzbestimmungen (Art. 5 SchVO). Der Teilzonenplan sieht zudem vor, das ungefähr 200 m entfernt liegende Rathaus, das heute in der Oe liegt, ebenfalls der KA zuzuscheiden. In dieser Zone sind nebst öffentlichen Gebäuden unter anderem auch Gaststätten und andere Dienstleistungsbetriebe zulässig (Art. 15 Abs. 1 BauG).</w:t>
      </w:r>
    </w:p>
    <w:p>
      <w:r>
        <w:rPr>
          <w:b/>
        </w:rPr>
        <w:t>E. 3.3.3</w:t>
      </w:r>
    </w:p>
    <w:p>
      <w:r>
        <w:t>Mit dem östlich der Altstadt gelegenen Stadtentwicklungsgebiet soll insbesondere der historische Stadtkern mit der zentralen Hauptgasse zwischen dem Freihof und dem stark frequentierten Gegenpunkt bei der Migros im Westen der Altstadt aufgewertet werden. Das Grundstück der Beschwerdeführerin dagegen liegt weit östlich von der Freihofüberbauung an der Peripherie der KV angrenzend zur Wohn-Gewerbezone (WG3). Es ist somit nicht ersichtlich – und wird von der Beschwerdeführerin auch nicht näher begründet – weshalb die umstrittenen Umzonungen im Stadtzentrum von der KV und Oe in die KA bei ihrem Grundstück zusätzliche Passantenströme auslösen sollen. Von der beträchtlichen Distanz abgesehen kommt allen drei Zonenarten (KA, KV und Oe) eine zentrumsbildende Funktion zu. Für beide Kernzonen gilt die Empfindlichkeitsstufe III, für die Oe, wo das heutige Rathaus steht, Stufe II. Die entsprechende Abstufung der Empfindlichkeitsstufe hat auf das Grundstück der Beschwerdeführerin jedoch keinen Einfluss, weil dazwischen ein grosses Gebiet liegt, das wie das Grundstück der Beschwerdeführerin bereits in einer weniger lärmempfindlichen Kernzone liegt. Hier befindet sich unter anderem auch das zonenkonforme Restaurant Freihof, wo regelmässig Konzerte und Partys veranstaltet werden. Mit anderen Worten vermag die zonenmässige Umteilung des Stadtentwicklungsgebiets von der KV und Oe zur KA auf das 100 m bis 200 m entfernt liegende Grundstück der Beschwerdeführerin keine Beeinträchtigung zu bewirken. Sie hat in erster Linie eine Verschärfung der ästhetischen Ansprüche zu Folge, wovon das Grundstück Nr. 461 jedoch nicht betroffen ist.</w:t>
      </w:r>
    </w:p>
    <w:p>
      <w:r>
        <w:rPr>
          <w:b/>
        </w:rPr>
        <w:t>E. 3.3.4</w:t>
      </w:r>
    </w:p>
    <w:p>
      <w:r>
        <w:t>Ausserdem verfügen sämtliche, tatsächlich von den planerischen Änderungen betroffenen Stadtteile eine vom Grundstück der Beschwerdeführerin völlig unabhängige Erschliessung, wie die Vorinstanz zu Recht ausgeführt hat. Während sich das Entwicklungsgebiet "Freihof-Rathaus" im Stadtzentrum an der Rorschacher-, Churer- und Trogener Strasse befindet und über diese Kantonsstrassen sowie die zu verlängernde Ringgasse (Gemeindestrasse 2. Klasse) erschlossen wird, liegt das Grundstück Nr. 461 am Rand der Vorstadt an der Bahnhof- und Städlenstrasse.</w:t>
      </w:r>
    </w:p>
    <w:p>
      <w:r>
        <w:rPr>
          <w:b/>
        </w:rPr>
        <w:t>E. 3.3.5</w:t>
      </w:r>
    </w:p>
    <w:p>
      <w:r>
        <w:t>Aus dem Gesagten folgt, dass allein mit der geringfügigen Nutzungsverschiebung keine Voraussetzungen geschaffen werden, die für das Grundstück der Beschwerdeführerin zusätzliche Immissionen zur Folge hätten. Ob das konkrete Bauprojekt beim Grundstück Nr. 461 zu relevanten Beeinträchtigungen führen könnte, wäre in den entsprechenden Sondernutzungsplan- und Baubewilligungsverfahren zu prüfen.</w:t>
      </w:r>
    </w:p>
    <w:p>
      <w:r>
        <w:rPr>
          <w:b/>
        </w:rPr>
        <w:t>E. 3.4</w:t>
      </w:r>
    </w:p>
    <w:p>
      <w:r>
        <w:t>Zusammenfassend ergibt sich, dass der Beschwerdeführerin unter den konkreten Umständen die erforderliche enge räumliche Beziehung zu den Plangebietsteilen, die tatsächlich planerischen Änderungen unterworfen sind, fehlt. Die zonenmässigen Änderungen berühren sie in ihren eigenen schutzwürdigen Interessen nicht. Die Vorinstanz hat die Rekurslegitimation daher zu Recht verneint. Damit erweist sich die Beschwerde als unbegründet, weshalb sie abzuweisen ist.</w:t>
      </w:r>
    </w:p>
    <w:p>
      <w:r>
        <w:rPr>
          <w:b/>
        </w:rPr>
        <w:t>E. 4</w:t>
      </w:r>
    </w:p>
    <w:p>
      <w:r>
        <w:t>Dem Verfahrensausgang entsprechend gehen die amtlichen Kosten des Beschwerdeverfahrens zulasten der Beschwerdeführerin (Art. 95 Abs. 1 VRP). Eine Entscheidgebühr von Fr. 2'000.-- ist angemessen (Ziff. 382 Gerichtskostentarif, sGS 941.12). Sie ist mit dem in gleicher Höhe geleisteten Kostenvorschuss zu verrechnen. Ausseramtliche Entschädigungen sind nicht zuzusprechen (Art. 98 Abs. 1 in Verbindung mit Art. 98bis VRP). Demnach hat das Verwaltungsgericht zu Recht erkannt: 1./ Die Beschwerde wird abgewiesen. 2./ Die amtlichen Kosten des Beschwerdeverfahrens von Fr. 2'000.-- bezahlt die Beschwerdeführerin unter Verrechnung des geleisteten Kostenvorschusses in gleicher Höhe. 3./ Ausseramtliche Kosten werden nicht entschädigt. V.          R.           W. Der Präsident:                                                     Der Gerichtsschreiber: Versand dieses Entscheides an: -   die Beschwerdeführerin (durch Rechtsanwalt Dr. Hubert Bühlmann, 9000 St. Gallen) -   die Vorinstanz -   die Beschwerdegegnerin am: Rechtsmittelbelehrung: Sofern eine Rechtsverletzung nach Art. 95 ff.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